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346" w:rsidRPr="00983257" w:rsidRDefault="00CE7C15" w:rsidP="006B5346">
      <w:pPr>
        <w:jc w:val="center"/>
        <w:rPr>
          <w:rFonts w:ascii="Tahoma" w:hAnsi="Tahoma" w:cs="Tahoma"/>
          <w:b/>
          <w:sz w:val="28"/>
          <w:szCs w:val="28"/>
        </w:rPr>
      </w:pPr>
      <w:r w:rsidRPr="00983257">
        <w:rPr>
          <w:rFonts w:ascii="Tahoma" w:hAnsi="Tahoma" w:cs="Tahoma"/>
          <w:b/>
          <w:sz w:val="28"/>
          <w:szCs w:val="28"/>
        </w:rPr>
        <w:t>Explication de vote CSE</w:t>
      </w:r>
      <w:r w:rsidR="00FA5566" w:rsidRPr="00983257">
        <w:rPr>
          <w:rFonts w:ascii="Tahoma" w:hAnsi="Tahoma" w:cs="Tahoma"/>
          <w:b/>
          <w:sz w:val="28"/>
          <w:szCs w:val="28"/>
        </w:rPr>
        <w:t xml:space="preserve"> du 8 juin 2017</w:t>
      </w:r>
      <w:r w:rsidRPr="00983257">
        <w:rPr>
          <w:rFonts w:ascii="Tahoma" w:hAnsi="Tahoma" w:cs="Tahoma"/>
          <w:b/>
          <w:sz w:val="28"/>
          <w:szCs w:val="28"/>
        </w:rPr>
        <w:t xml:space="preserve"> </w:t>
      </w:r>
    </w:p>
    <w:p w:rsidR="00FA5566" w:rsidRPr="00983257" w:rsidRDefault="002648F8" w:rsidP="006B5346">
      <w:pPr>
        <w:jc w:val="center"/>
        <w:rPr>
          <w:rFonts w:ascii="Tahoma" w:hAnsi="Tahoma" w:cs="Tahoma"/>
          <w:b/>
          <w:sz w:val="28"/>
          <w:szCs w:val="28"/>
        </w:rPr>
      </w:pPr>
      <w:r w:rsidRPr="00983257">
        <w:rPr>
          <w:rFonts w:ascii="Tahoma" w:hAnsi="Tahoma" w:cs="Tahoma"/>
          <w:b/>
          <w:sz w:val="28"/>
          <w:szCs w:val="28"/>
        </w:rPr>
        <w:t>Et</w:t>
      </w:r>
      <w:r w:rsidR="00CE7C15" w:rsidRPr="00983257">
        <w:rPr>
          <w:rFonts w:ascii="Tahoma" w:hAnsi="Tahoma" w:cs="Tahoma"/>
          <w:b/>
          <w:sz w:val="28"/>
          <w:szCs w:val="28"/>
        </w:rPr>
        <w:t xml:space="preserve"> le</w:t>
      </w:r>
      <w:r w:rsidR="00983257">
        <w:rPr>
          <w:rFonts w:ascii="Tahoma" w:hAnsi="Tahoma" w:cs="Tahoma"/>
          <w:b/>
          <w:sz w:val="28"/>
          <w:szCs w:val="28"/>
        </w:rPr>
        <w:t>s</w:t>
      </w:r>
      <w:r w:rsidR="00CE7C15" w:rsidRPr="00983257">
        <w:rPr>
          <w:rFonts w:ascii="Tahoma" w:hAnsi="Tahoma" w:cs="Tahoma"/>
          <w:b/>
          <w:sz w:val="28"/>
          <w:szCs w:val="28"/>
        </w:rPr>
        <w:t xml:space="preserve"> résultat</w:t>
      </w:r>
      <w:r w:rsidR="00983257">
        <w:rPr>
          <w:rFonts w:ascii="Tahoma" w:hAnsi="Tahoma" w:cs="Tahoma"/>
          <w:b/>
          <w:sz w:val="28"/>
          <w:szCs w:val="28"/>
        </w:rPr>
        <w:t>s</w:t>
      </w:r>
      <w:r w:rsidR="00CE7C15" w:rsidRPr="00983257">
        <w:rPr>
          <w:rFonts w:ascii="Tahoma" w:hAnsi="Tahoma" w:cs="Tahoma"/>
          <w:b/>
          <w:sz w:val="28"/>
          <w:szCs w:val="28"/>
        </w:rPr>
        <w:t xml:space="preserve"> des votes</w:t>
      </w:r>
    </w:p>
    <w:p w:rsidR="00FA5566" w:rsidRPr="00A30B87" w:rsidRDefault="00FA5566" w:rsidP="00C84943">
      <w:pPr>
        <w:spacing w:after="80"/>
        <w:jc w:val="both"/>
        <w:rPr>
          <w:rFonts w:ascii="Tahoma" w:hAnsi="Tahoma" w:cs="Tahoma"/>
          <w:iCs/>
          <w:color w:val="000000"/>
        </w:rPr>
      </w:pPr>
      <w:r w:rsidRPr="00A30B87">
        <w:rPr>
          <w:rFonts w:ascii="Tahoma" w:hAnsi="Tahoma" w:cs="Tahoma"/>
        </w:rPr>
        <w:t>Nous avons constamment porté la nécessité de revoir</w:t>
      </w:r>
      <w:r w:rsidRPr="00A30B87">
        <w:rPr>
          <w:rFonts w:ascii="Tahoma" w:hAnsi="Tahoma" w:cs="Tahoma"/>
          <w:b/>
          <w:bCs/>
        </w:rPr>
        <w:t xml:space="preserve"> </w:t>
      </w:r>
      <w:r w:rsidRPr="00A30B87">
        <w:rPr>
          <w:rFonts w:ascii="Tahoma" w:hAnsi="Tahoma" w:cs="Tahoma"/>
        </w:rPr>
        <w:t xml:space="preserve">le décret Peillon, </w:t>
      </w:r>
      <w:r w:rsidRPr="00A30B87">
        <w:rPr>
          <w:rFonts w:ascii="Tahoma" w:hAnsi="Tahoma" w:cs="Tahoma"/>
          <w:bCs/>
        </w:rPr>
        <w:t>mené dans la précipitation, partant des contraintes des collectivités, oubliant le plus souvent parents et enseignants</w:t>
      </w:r>
      <w:r w:rsidR="00461A9F" w:rsidRPr="00A30B87">
        <w:rPr>
          <w:rFonts w:ascii="Tahoma" w:hAnsi="Tahoma" w:cs="Tahoma"/>
          <w:bCs/>
        </w:rPr>
        <w:t>.</w:t>
      </w:r>
      <w:r w:rsidRPr="00A30B87">
        <w:rPr>
          <w:rFonts w:ascii="Tahoma" w:hAnsi="Tahoma" w:cs="Tahoma"/>
          <w:bCs/>
        </w:rPr>
        <w:t xml:space="preserve"> </w:t>
      </w:r>
      <w:r w:rsidR="00461A9F" w:rsidRPr="00A30B87">
        <w:rPr>
          <w:rFonts w:ascii="Tahoma" w:hAnsi="Tahoma" w:cs="Tahoma"/>
          <w:bCs/>
        </w:rPr>
        <w:t>C</w:t>
      </w:r>
      <w:r w:rsidRPr="00A30B87">
        <w:rPr>
          <w:rFonts w:ascii="Tahoma" w:hAnsi="Tahoma" w:cs="Tahoma"/>
          <w:bCs/>
        </w:rPr>
        <w:t xml:space="preserve">ette réforme n’a pas atteint  son objectif d’améliorer les apprentissages des élèves. </w:t>
      </w:r>
      <w:r w:rsidRPr="00A30B87">
        <w:rPr>
          <w:rFonts w:ascii="Tahoma" w:hAnsi="Tahoma" w:cs="Tahoma"/>
          <w:iCs/>
          <w:color w:val="000000"/>
        </w:rPr>
        <w:t>Sur ce point, le comité de suivi des rythmes a relevé une plus grande proportion d’apprentissages fondamentaux au détriment d’activités scientifiques par exemple. Cela suppose donc qu’il ne suffira pas de réorganiser la semaine</w:t>
      </w:r>
      <w:r w:rsidR="00C81DCA" w:rsidRPr="00A30B87">
        <w:rPr>
          <w:rFonts w:ascii="Tahoma" w:hAnsi="Tahoma" w:cs="Tahoma"/>
          <w:iCs/>
          <w:color w:val="000000"/>
        </w:rPr>
        <w:t>. E</w:t>
      </w:r>
      <w:r w:rsidRPr="00A30B87">
        <w:rPr>
          <w:rFonts w:ascii="Tahoma" w:hAnsi="Tahoma" w:cs="Tahoma"/>
          <w:iCs/>
          <w:color w:val="000000"/>
        </w:rPr>
        <w:t>ncore faut-il que ce soit accompagné d’une organisation des apprentissages.</w:t>
      </w:r>
    </w:p>
    <w:p w:rsidR="00FA5566" w:rsidRPr="00A30B87" w:rsidRDefault="00FA5566" w:rsidP="00C84943">
      <w:pPr>
        <w:spacing w:after="80"/>
        <w:jc w:val="both"/>
        <w:rPr>
          <w:rFonts w:ascii="Tahoma" w:hAnsi="Tahoma" w:cs="Tahoma"/>
          <w:color w:val="000000"/>
        </w:rPr>
      </w:pPr>
      <w:r w:rsidRPr="00A30B87">
        <w:rPr>
          <w:rFonts w:ascii="Tahoma" w:hAnsi="Tahoma" w:cs="Tahoma"/>
        </w:rPr>
        <w:t>Elle donne aussi trop de poids aux collectivités locales au détriment des intérêts de l'</w:t>
      </w:r>
      <w:r w:rsidR="00C81DCA" w:rsidRPr="00A30B87">
        <w:rPr>
          <w:rFonts w:ascii="Tahoma" w:hAnsi="Tahoma" w:cs="Tahoma"/>
        </w:rPr>
        <w:t>É</w:t>
      </w:r>
      <w:r w:rsidRPr="00A30B87">
        <w:rPr>
          <w:rFonts w:ascii="Tahoma" w:hAnsi="Tahoma" w:cs="Tahoma"/>
        </w:rPr>
        <w:t>ducation nationale et des enseignants et engendre</w:t>
      </w:r>
      <w:r w:rsidRPr="00A30B87">
        <w:rPr>
          <w:rFonts w:ascii="Tahoma" w:hAnsi="Tahoma" w:cs="Tahoma"/>
          <w:color w:val="000000"/>
        </w:rPr>
        <w:t xml:space="preserve"> de très grandes inégalités entre territoires. </w:t>
      </w:r>
    </w:p>
    <w:p w:rsidR="00FA5566" w:rsidRPr="00A30B87" w:rsidRDefault="00FA5566" w:rsidP="00C84943">
      <w:pPr>
        <w:spacing w:after="80"/>
        <w:jc w:val="both"/>
        <w:rPr>
          <w:rFonts w:ascii="Tahoma" w:hAnsi="Tahoma" w:cs="Tahoma"/>
          <w:iCs/>
          <w:color w:val="000000"/>
        </w:rPr>
      </w:pPr>
      <w:r w:rsidRPr="00A30B87">
        <w:rPr>
          <w:rFonts w:ascii="Tahoma" w:hAnsi="Tahoma" w:cs="Tahoma"/>
          <w:iCs/>
          <w:color w:val="000000"/>
        </w:rPr>
        <w:t xml:space="preserve">Les enseignants sont pressurisés par des réunions tardives, des réunions le mercredi après-midi mettant à mal leur disponibilité pour le travail d’équipe ou le temps nécessaire de préparation et de corrections et dégradant leurs conditions de travail. </w:t>
      </w:r>
    </w:p>
    <w:p w:rsidR="00FA5566" w:rsidRPr="00A30B87" w:rsidRDefault="00FA5566" w:rsidP="00C84943">
      <w:pPr>
        <w:spacing w:after="80"/>
        <w:jc w:val="both"/>
        <w:rPr>
          <w:rFonts w:ascii="Tahoma" w:hAnsi="Tahoma" w:cs="Tahoma"/>
        </w:rPr>
      </w:pPr>
      <w:r w:rsidRPr="00A30B87">
        <w:rPr>
          <w:rFonts w:ascii="Tahoma" w:hAnsi="Tahoma" w:cs="Tahoma"/>
        </w:rPr>
        <w:t>Ce nouveau décret ouvre la porte aux 4 jours. Il ne les impose pas. C’est une possibilité pour répondre aux organisations insatisfaisantes ou inadaptées.  Il maintient les dispositions de fonctionnement sur 4,5 demi-journées.  C’est un début de réponse. C’est la raison pour laquelle il recueillera un vote favorable de notre part.</w:t>
      </w:r>
    </w:p>
    <w:p w:rsidR="00FA5566" w:rsidRPr="00A30B87" w:rsidRDefault="00FA5566" w:rsidP="00C84943">
      <w:pPr>
        <w:spacing w:after="80"/>
        <w:jc w:val="both"/>
        <w:rPr>
          <w:rFonts w:ascii="Tahoma" w:hAnsi="Tahoma" w:cs="Tahoma"/>
        </w:rPr>
      </w:pPr>
      <w:r w:rsidRPr="00A30B87">
        <w:rPr>
          <w:rFonts w:ascii="Tahoma" w:hAnsi="Tahoma" w:cs="Tahoma"/>
        </w:rPr>
        <w:t>Il doit permettre d’aller plus loin</w:t>
      </w:r>
      <w:r w:rsidR="00C81DCA" w:rsidRPr="00A30B87">
        <w:rPr>
          <w:rFonts w:ascii="Tahoma" w:hAnsi="Tahoma" w:cs="Tahoma"/>
        </w:rPr>
        <w:t xml:space="preserve"> </w:t>
      </w:r>
      <w:r w:rsidRPr="00A30B87">
        <w:rPr>
          <w:rFonts w:ascii="Tahoma" w:hAnsi="Tahoma" w:cs="Tahoma"/>
        </w:rPr>
        <w:t>en donnant</w:t>
      </w:r>
      <w:r w:rsidR="00C81DCA" w:rsidRPr="00A30B87">
        <w:rPr>
          <w:rFonts w:ascii="Tahoma" w:hAnsi="Tahoma" w:cs="Tahoma"/>
        </w:rPr>
        <w:t>,</w:t>
      </w:r>
      <w:r w:rsidRPr="00A30B87">
        <w:rPr>
          <w:rFonts w:ascii="Tahoma" w:hAnsi="Tahoma" w:cs="Tahoma"/>
        </w:rPr>
        <w:t xml:space="preserve"> la faculté de maintenir</w:t>
      </w:r>
      <w:r w:rsidR="00C81DCA" w:rsidRPr="00A30B87">
        <w:rPr>
          <w:rFonts w:ascii="Tahoma" w:hAnsi="Tahoma" w:cs="Tahoma"/>
        </w:rPr>
        <w:t xml:space="preserve"> </w:t>
      </w:r>
      <w:r w:rsidRPr="00A30B87">
        <w:rPr>
          <w:rFonts w:ascii="Tahoma" w:hAnsi="Tahoma" w:cs="Tahoma"/>
        </w:rPr>
        <w:t xml:space="preserve">des </w:t>
      </w:r>
      <w:r w:rsidR="00C81DCA" w:rsidRPr="00A30B87">
        <w:rPr>
          <w:rFonts w:ascii="Tahoma" w:hAnsi="Tahoma" w:cs="Tahoma"/>
        </w:rPr>
        <w:t>expérimentations existantes et la</w:t>
      </w:r>
      <w:r w:rsidRPr="00A30B87">
        <w:rPr>
          <w:rFonts w:ascii="Tahoma" w:hAnsi="Tahoma" w:cs="Tahoma"/>
        </w:rPr>
        <w:t xml:space="preserve"> satisfaction (matinées de 4 heures) voire en introduire de nouvelles comme celle de retrouver ce mercredi ou samedi libéré avec des semaines modulables pour libérer un mercredi ou un samedi sur 2 ou 3 comme cela existait à Poitiers ou Toulouse par exemple, en redonnant l’initiative aux conseils d’école.</w:t>
      </w:r>
    </w:p>
    <w:p w:rsidR="00FA5566" w:rsidRPr="00A30B87" w:rsidRDefault="00FA5566" w:rsidP="00C84943">
      <w:pPr>
        <w:pStyle w:val="NormalWeb"/>
        <w:spacing w:before="0" w:beforeAutospacing="0" w:after="80" w:line="276" w:lineRule="auto"/>
        <w:jc w:val="both"/>
        <w:rPr>
          <w:rFonts w:ascii="Tahoma" w:eastAsiaTheme="minorHAnsi" w:hAnsi="Tahoma" w:cs="Tahoma"/>
          <w:iCs/>
          <w:color w:val="000000"/>
          <w:sz w:val="22"/>
          <w:szCs w:val="22"/>
          <w:lang w:eastAsia="en-US"/>
        </w:rPr>
      </w:pPr>
      <w:r w:rsidRPr="00A30B87">
        <w:rPr>
          <w:rFonts w:ascii="Tahoma" w:eastAsiaTheme="minorHAnsi" w:hAnsi="Tahoma" w:cs="Tahoma"/>
          <w:iCs/>
          <w:color w:val="000000"/>
          <w:sz w:val="22"/>
          <w:szCs w:val="22"/>
          <w:lang w:eastAsia="en-US"/>
        </w:rPr>
        <w:t>C’est aussi l’occasion de vous alerter sur le fait que vous réitérez aujourd’hui les mêmes erreurs</w:t>
      </w:r>
      <w:r w:rsidR="00C81DCA" w:rsidRPr="00A30B87">
        <w:rPr>
          <w:rFonts w:ascii="Tahoma" w:eastAsiaTheme="minorHAnsi" w:hAnsi="Tahoma" w:cs="Tahoma"/>
          <w:iCs/>
          <w:color w:val="000000"/>
          <w:sz w:val="22"/>
          <w:szCs w:val="22"/>
          <w:lang w:eastAsia="en-US"/>
        </w:rPr>
        <w:t xml:space="preserve"> </w:t>
      </w:r>
      <w:r w:rsidRPr="00A30B87">
        <w:rPr>
          <w:rFonts w:ascii="Tahoma" w:eastAsiaTheme="minorHAnsi" w:hAnsi="Tahoma" w:cs="Tahoma"/>
          <w:iCs/>
          <w:color w:val="000000"/>
          <w:sz w:val="22"/>
          <w:szCs w:val="22"/>
          <w:lang w:eastAsia="en-US"/>
        </w:rPr>
        <w:t>que M</w:t>
      </w:r>
      <w:r w:rsidR="00C81DCA" w:rsidRPr="00A30B87">
        <w:rPr>
          <w:rFonts w:ascii="Tahoma" w:eastAsiaTheme="minorHAnsi" w:hAnsi="Tahoma" w:cs="Tahoma"/>
          <w:iCs/>
          <w:color w:val="000000"/>
          <w:sz w:val="22"/>
          <w:szCs w:val="22"/>
          <w:lang w:eastAsia="en-US"/>
        </w:rPr>
        <w:t>onsieur</w:t>
      </w:r>
      <w:r w:rsidRPr="00A30B87">
        <w:rPr>
          <w:rFonts w:ascii="Tahoma" w:eastAsiaTheme="minorHAnsi" w:hAnsi="Tahoma" w:cs="Tahoma"/>
          <w:iCs/>
          <w:color w:val="000000"/>
          <w:sz w:val="22"/>
          <w:szCs w:val="22"/>
          <w:lang w:eastAsia="en-US"/>
        </w:rPr>
        <w:t xml:space="preserve"> Peillon, en demandant dans un contexte électoral, des modifications dans la précipitation, à quelques jours de la sortie des classes, créant l’incertitude dans les écoles et les familles ou en permettant aux maires de se défaire de fonctionnements parce qu'ils les jugent trop coûteux, où qu'ils estiment ne pas avoir les moyens de les mettre en œuvre. Cela ne doit pas occulter comme nous l’avons dit</w:t>
      </w:r>
      <w:r w:rsidR="00C81DCA" w:rsidRPr="00A30B87">
        <w:rPr>
          <w:rFonts w:ascii="Tahoma" w:eastAsiaTheme="minorHAnsi" w:hAnsi="Tahoma" w:cs="Tahoma"/>
          <w:iCs/>
          <w:color w:val="000000"/>
          <w:sz w:val="22"/>
          <w:szCs w:val="22"/>
          <w:lang w:eastAsia="en-US"/>
        </w:rPr>
        <w:t>,</w:t>
      </w:r>
      <w:r w:rsidRPr="00A30B87">
        <w:rPr>
          <w:rFonts w:ascii="Tahoma" w:eastAsiaTheme="minorHAnsi" w:hAnsi="Tahoma" w:cs="Tahoma"/>
          <w:iCs/>
          <w:color w:val="000000"/>
          <w:sz w:val="22"/>
          <w:szCs w:val="22"/>
          <w:lang w:eastAsia="en-US"/>
        </w:rPr>
        <w:t xml:space="preserve"> une réflexion sur le temps de l’enfant et le temps scolaire et la question de la d</w:t>
      </w:r>
      <w:r w:rsidR="00277090" w:rsidRPr="00A30B87">
        <w:rPr>
          <w:rFonts w:ascii="Tahoma" w:eastAsiaTheme="minorHAnsi" w:hAnsi="Tahoma" w:cs="Tahoma"/>
          <w:iCs/>
          <w:color w:val="000000"/>
          <w:sz w:val="22"/>
          <w:szCs w:val="22"/>
          <w:lang w:eastAsia="en-US"/>
        </w:rPr>
        <w:t>é</w:t>
      </w:r>
      <w:r w:rsidRPr="00A30B87">
        <w:rPr>
          <w:rFonts w:ascii="Tahoma" w:eastAsiaTheme="minorHAnsi" w:hAnsi="Tahoma" w:cs="Tahoma"/>
          <w:iCs/>
          <w:color w:val="000000"/>
          <w:sz w:val="22"/>
          <w:szCs w:val="22"/>
          <w:lang w:eastAsia="en-US"/>
        </w:rPr>
        <w:t>connexion du temps des élè</w:t>
      </w:r>
      <w:r w:rsidR="00C81DCA" w:rsidRPr="00A30B87">
        <w:rPr>
          <w:rFonts w:ascii="Tahoma" w:eastAsiaTheme="minorHAnsi" w:hAnsi="Tahoma" w:cs="Tahoma"/>
          <w:iCs/>
          <w:color w:val="000000"/>
          <w:sz w:val="22"/>
          <w:szCs w:val="22"/>
          <w:lang w:eastAsia="en-US"/>
        </w:rPr>
        <w:t xml:space="preserve">ves et du temps des enseignants, </w:t>
      </w:r>
      <w:r w:rsidRPr="00A30B87">
        <w:rPr>
          <w:rFonts w:ascii="Tahoma" w:eastAsiaTheme="minorHAnsi" w:hAnsi="Tahoma" w:cs="Tahoma"/>
          <w:iCs/>
          <w:color w:val="000000"/>
          <w:sz w:val="22"/>
          <w:szCs w:val="22"/>
          <w:lang w:eastAsia="en-US"/>
        </w:rPr>
        <w:t>sans réduire les heures d’enseignement des élèves</w:t>
      </w:r>
      <w:r w:rsidR="00ED7759" w:rsidRPr="00A30B87">
        <w:rPr>
          <w:rFonts w:ascii="Tahoma" w:eastAsiaTheme="minorHAnsi" w:hAnsi="Tahoma" w:cs="Tahoma"/>
          <w:iCs/>
          <w:color w:val="000000"/>
          <w:sz w:val="22"/>
          <w:szCs w:val="22"/>
          <w:lang w:eastAsia="en-US"/>
        </w:rPr>
        <w:t>,</w:t>
      </w:r>
      <w:r w:rsidRPr="00A30B87">
        <w:rPr>
          <w:rFonts w:ascii="Tahoma" w:eastAsiaTheme="minorHAnsi" w:hAnsi="Tahoma" w:cs="Tahoma"/>
          <w:iCs/>
          <w:color w:val="000000"/>
          <w:sz w:val="22"/>
          <w:szCs w:val="22"/>
          <w:lang w:eastAsia="en-US"/>
        </w:rPr>
        <w:t xml:space="preserve"> mais en permettant de développer le travail en équipe : axe fort de la transformation de l’école.</w:t>
      </w:r>
    </w:p>
    <w:p w:rsidR="00C81DCA" w:rsidRPr="00A30B87" w:rsidRDefault="00FA5566" w:rsidP="00C84943">
      <w:pPr>
        <w:spacing w:after="80"/>
        <w:jc w:val="both"/>
        <w:rPr>
          <w:rFonts w:ascii="Tahoma" w:hAnsi="Tahoma" w:cs="Tahoma"/>
          <w:color w:val="000000"/>
        </w:rPr>
      </w:pPr>
      <w:r w:rsidRPr="00A30B87">
        <w:rPr>
          <w:rFonts w:ascii="Tahoma" w:hAnsi="Tahoma" w:cs="Tahoma"/>
          <w:color w:val="000000"/>
        </w:rPr>
        <w:t>Nous continuons d'être attentifs à ce qui est proposé aux enfants après l'école. Offrir des activités de qualité gratuites et encadrées par des professionnels de l'animation avec des contrats stables reste une exigence pour le SNUipp</w:t>
      </w:r>
      <w:r w:rsidR="00C81DCA" w:rsidRPr="00A30B87">
        <w:rPr>
          <w:rFonts w:ascii="Tahoma" w:hAnsi="Tahoma" w:cs="Tahoma"/>
          <w:color w:val="000000"/>
        </w:rPr>
        <w:t>-FSU</w:t>
      </w:r>
      <w:r w:rsidRPr="00A30B87">
        <w:rPr>
          <w:rFonts w:ascii="Tahoma" w:hAnsi="Tahoma" w:cs="Tahoma"/>
          <w:color w:val="000000"/>
        </w:rPr>
        <w:t xml:space="preserve">. Là encore, dans trop d'endroits, les élèves se sont vus proposer de la garderie ou des activités payantes et donc discriminantes pour les familles aux faibles revenus. </w:t>
      </w:r>
    </w:p>
    <w:p w:rsidR="00FA5566" w:rsidRPr="00A30B87" w:rsidRDefault="00FA5566" w:rsidP="00C84943">
      <w:pPr>
        <w:spacing w:after="80"/>
        <w:jc w:val="both"/>
        <w:rPr>
          <w:rFonts w:ascii="Tahoma" w:hAnsi="Tahoma" w:cs="Tahoma"/>
          <w:color w:val="000000"/>
        </w:rPr>
      </w:pPr>
      <w:r w:rsidRPr="00A30B87">
        <w:rPr>
          <w:rFonts w:ascii="Tahoma" w:hAnsi="Tahoma" w:cs="Tahoma"/>
          <w:color w:val="000000"/>
        </w:rPr>
        <w:t>Sur tous ces points, notre société doit faire des progrès. Nous pensons que tous les enfants et notamment ceux des milieux populaires doivent se voir offrir des activités permettant leur développement culturel et social et ce quel que soit le rythme de la semaine retenu. Les associations complémentaires de l'école et d'éducation populaire ont un rôle fondamental à jouer. Les communes dans le besoin doivent être financièrement accompagnées pour développer leur expertise éducative.</w:t>
      </w:r>
    </w:p>
    <w:p w:rsidR="00FA5566" w:rsidRPr="00A30B87" w:rsidRDefault="00FA5566" w:rsidP="00C84943">
      <w:pPr>
        <w:jc w:val="both"/>
        <w:rPr>
          <w:rFonts w:ascii="Tahoma" w:hAnsi="Tahoma" w:cs="Tahoma"/>
          <w:color w:val="000000"/>
        </w:rPr>
      </w:pPr>
      <w:r w:rsidRPr="00A30B87">
        <w:rPr>
          <w:rFonts w:ascii="Tahoma" w:hAnsi="Tahoma" w:cs="Tahoma"/>
          <w:color w:val="000000"/>
        </w:rPr>
        <w:t>Si ce décret permet des assouplissements, ce n’est pas là l’essentiel pour l’école</w:t>
      </w:r>
      <w:r w:rsidR="001F633B" w:rsidRPr="00A30B87">
        <w:rPr>
          <w:rFonts w:ascii="Tahoma" w:hAnsi="Tahoma" w:cs="Tahoma"/>
          <w:color w:val="000000"/>
        </w:rPr>
        <w:t>.</w:t>
      </w:r>
      <w:r w:rsidRPr="00A30B87">
        <w:rPr>
          <w:rFonts w:ascii="Tahoma" w:hAnsi="Tahoma" w:cs="Tahoma"/>
          <w:color w:val="000000"/>
        </w:rPr>
        <w:t xml:space="preserve"> D’autres leviers dont nous avons parlé</w:t>
      </w:r>
      <w:r w:rsidR="001F633B" w:rsidRPr="00A30B87">
        <w:rPr>
          <w:rFonts w:ascii="Tahoma" w:hAnsi="Tahoma" w:cs="Tahoma"/>
          <w:color w:val="000000"/>
        </w:rPr>
        <w:t>s</w:t>
      </w:r>
      <w:r w:rsidRPr="00A30B87">
        <w:rPr>
          <w:rFonts w:ascii="Tahoma" w:hAnsi="Tahoma" w:cs="Tahoma"/>
          <w:color w:val="000000"/>
        </w:rPr>
        <w:t xml:space="preserve"> dans notre déclaration liminaire restent à activer et ceux-ci réclament un investissement fort pour l’école primaire, sans compter l’exigence de politiques publiques sociales, de l’emploi, du logement, de la santé, fortes.</w:t>
      </w:r>
    </w:p>
    <w:p w:rsidR="00FA5566" w:rsidRPr="00A30B87" w:rsidRDefault="00FA5566" w:rsidP="00C84943">
      <w:pPr>
        <w:widowControl w:val="0"/>
        <w:suppressAutoHyphens/>
        <w:spacing w:after="0" w:line="240" w:lineRule="auto"/>
        <w:jc w:val="both"/>
        <w:rPr>
          <w:rFonts w:ascii="Tahoma" w:eastAsia="Arial Unicode MS" w:hAnsi="Tahoma" w:cs="Tahoma"/>
          <w:kern w:val="1"/>
          <w:lang w:eastAsia="zh-CN" w:bidi="hi-IN"/>
        </w:rPr>
      </w:pPr>
    </w:p>
    <w:p w:rsidR="00FA5566" w:rsidRPr="00A30B87" w:rsidRDefault="00FA5566" w:rsidP="00FA5566">
      <w:pPr>
        <w:widowControl w:val="0"/>
        <w:suppressAutoHyphens/>
        <w:spacing w:after="0" w:line="240" w:lineRule="auto"/>
        <w:rPr>
          <w:rFonts w:ascii="Tahoma" w:eastAsia="Arial Unicode MS" w:hAnsi="Tahoma" w:cs="Tahoma"/>
          <w:kern w:val="1"/>
          <w:lang w:eastAsia="zh-CN" w:bidi="hi-IN"/>
        </w:rPr>
      </w:pPr>
      <w:r w:rsidRPr="00A30B87">
        <w:rPr>
          <w:rFonts w:ascii="Tahoma" w:eastAsia="Arial Unicode MS" w:hAnsi="Tahoma" w:cs="Tahoma"/>
          <w:kern w:val="1"/>
          <w:lang w:eastAsia="zh-CN" w:bidi="hi-IN"/>
        </w:rPr>
        <w:t>Nous avons présenté 2 amendements (ci-joint</w:t>
      </w:r>
      <w:r w:rsidR="00CE7C15" w:rsidRPr="00A30B87">
        <w:rPr>
          <w:rFonts w:ascii="Tahoma" w:eastAsia="Arial Unicode MS" w:hAnsi="Tahoma" w:cs="Tahoma"/>
          <w:kern w:val="1"/>
          <w:lang w:eastAsia="zh-CN" w:bidi="hi-IN"/>
        </w:rPr>
        <w:t>s</w:t>
      </w:r>
      <w:r w:rsidRPr="00A30B87">
        <w:rPr>
          <w:rFonts w:ascii="Tahoma" w:eastAsia="Arial Unicode MS" w:hAnsi="Tahoma" w:cs="Tahoma"/>
          <w:kern w:val="1"/>
          <w:lang w:eastAsia="zh-CN" w:bidi="hi-IN"/>
        </w:rPr>
        <w:t xml:space="preserve">) </w:t>
      </w:r>
    </w:p>
    <w:p w:rsidR="00FA5566" w:rsidRPr="00A30B87" w:rsidRDefault="00FA5566" w:rsidP="00FA5566">
      <w:pPr>
        <w:widowControl w:val="0"/>
        <w:suppressAutoHyphens/>
        <w:spacing w:after="0" w:line="240" w:lineRule="auto"/>
        <w:rPr>
          <w:rFonts w:ascii="Tahoma" w:eastAsia="Arial Unicode MS" w:hAnsi="Tahoma" w:cs="Tahoma"/>
          <w:kern w:val="1"/>
          <w:lang w:eastAsia="zh-CN" w:bidi="hi-IN"/>
        </w:rPr>
      </w:pPr>
    </w:p>
    <w:p w:rsidR="00FA5566" w:rsidRPr="00A30B87" w:rsidRDefault="00FA5566" w:rsidP="00FA5566">
      <w:pPr>
        <w:widowControl w:val="0"/>
        <w:suppressAutoHyphens/>
        <w:spacing w:after="0" w:line="240" w:lineRule="auto"/>
        <w:jc w:val="both"/>
        <w:rPr>
          <w:rFonts w:ascii="Tahoma" w:eastAsia="Arial Unicode MS" w:hAnsi="Tahoma" w:cs="Tahoma"/>
          <w:b/>
          <w:kern w:val="1"/>
          <w:lang w:eastAsia="zh-CN" w:bidi="hi-IN"/>
        </w:rPr>
      </w:pPr>
      <w:r w:rsidRPr="00A30B87">
        <w:rPr>
          <w:rFonts w:ascii="Tahoma" w:eastAsia="Arial Unicode MS" w:hAnsi="Tahoma" w:cs="Tahoma"/>
          <w:b/>
          <w:kern w:val="1"/>
          <w:lang w:eastAsia="zh-CN" w:bidi="hi-IN"/>
        </w:rPr>
        <w:t xml:space="preserve">Vote des amendements sur le décret : </w:t>
      </w:r>
    </w:p>
    <w:p w:rsidR="00FA5566" w:rsidRPr="00A30B87" w:rsidRDefault="00FA5566" w:rsidP="00FA5566">
      <w:pPr>
        <w:widowControl w:val="0"/>
        <w:suppressAutoHyphens/>
        <w:spacing w:after="0" w:line="240" w:lineRule="auto"/>
        <w:jc w:val="both"/>
        <w:rPr>
          <w:rFonts w:ascii="Tahoma" w:eastAsia="Arial Unicode MS" w:hAnsi="Tahoma" w:cs="Tahoma"/>
          <w:kern w:val="1"/>
          <w:lang w:eastAsia="zh-CN" w:bidi="hi-IN"/>
        </w:rPr>
      </w:pPr>
    </w:p>
    <w:p w:rsidR="00FA5566" w:rsidRPr="00A30B87" w:rsidRDefault="00FA5566" w:rsidP="00FA5566">
      <w:pPr>
        <w:widowControl w:val="0"/>
        <w:suppressAutoHyphens/>
        <w:spacing w:after="0" w:line="240" w:lineRule="auto"/>
        <w:jc w:val="both"/>
        <w:rPr>
          <w:rFonts w:ascii="Tahoma" w:eastAsia="Arial Unicode MS" w:hAnsi="Tahoma" w:cs="Tahoma"/>
          <w:kern w:val="1"/>
          <w:lang w:eastAsia="zh-CN" w:bidi="hi-IN"/>
        </w:rPr>
      </w:pPr>
      <w:r w:rsidRPr="00A30B87">
        <w:rPr>
          <w:rFonts w:ascii="Tahoma" w:eastAsia="Arial Unicode MS" w:hAnsi="Tahoma" w:cs="Tahoma"/>
          <w:b/>
          <w:kern w:val="1"/>
          <w:lang w:eastAsia="zh-CN" w:bidi="hi-IN"/>
        </w:rPr>
        <w:t>Amendement 1 SNUipp :</w:t>
      </w:r>
      <w:r w:rsidRPr="00A30B87">
        <w:rPr>
          <w:rFonts w:ascii="Tahoma" w:eastAsia="Arial Unicode MS" w:hAnsi="Tahoma" w:cs="Tahoma"/>
          <w:kern w:val="1"/>
          <w:lang w:eastAsia="zh-CN" w:bidi="hi-IN"/>
        </w:rPr>
        <w:t xml:space="preserve"> conseil d’école</w:t>
      </w:r>
    </w:p>
    <w:p w:rsidR="00A30B87" w:rsidRPr="00A30B87" w:rsidRDefault="00A30B87" w:rsidP="00FA5566">
      <w:pPr>
        <w:widowControl w:val="0"/>
        <w:suppressAutoHyphens/>
        <w:spacing w:after="0" w:line="240" w:lineRule="auto"/>
        <w:jc w:val="both"/>
        <w:rPr>
          <w:rFonts w:ascii="Tahoma" w:eastAsia="Arial Unicode MS" w:hAnsi="Tahoma" w:cs="Tahoma"/>
          <w:kern w:val="1"/>
          <w:lang w:eastAsia="zh-CN" w:bidi="hi-IN"/>
        </w:rPr>
      </w:pPr>
    </w:p>
    <w:p w:rsidR="00A30B87" w:rsidRPr="00A30B87" w:rsidRDefault="00A30B87" w:rsidP="00A30B87">
      <w:pPr>
        <w:pStyle w:val="Default"/>
        <w:rPr>
          <w:sz w:val="22"/>
          <w:szCs w:val="22"/>
        </w:rPr>
      </w:pPr>
      <w:r w:rsidRPr="00A30B87">
        <w:rPr>
          <w:sz w:val="22"/>
          <w:szCs w:val="22"/>
        </w:rPr>
        <w:t xml:space="preserve"> </w:t>
      </w:r>
      <w:r w:rsidRPr="00A30B87">
        <w:rPr>
          <w:b/>
          <w:bCs/>
          <w:sz w:val="22"/>
          <w:szCs w:val="22"/>
        </w:rPr>
        <w:t>Article 1</w:t>
      </w:r>
    </w:p>
    <w:p w:rsidR="00A30B87" w:rsidRPr="00A30B87" w:rsidRDefault="00A30B87" w:rsidP="00A30B87">
      <w:pPr>
        <w:pStyle w:val="Default"/>
        <w:rPr>
          <w:b/>
          <w:bCs/>
          <w:sz w:val="22"/>
          <w:szCs w:val="22"/>
        </w:rPr>
      </w:pPr>
      <w:r w:rsidRPr="00A30B87">
        <w:rPr>
          <w:b/>
          <w:bCs/>
          <w:sz w:val="22"/>
          <w:szCs w:val="22"/>
        </w:rPr>
        <w:t xml:space="preserve">II- Modifier comme suit : </w:t>
      </w:r>
      <w:r w:rsidRPr="00A30B87">
        <w:rPr>
          <w:sz w:val="22"/>
          <w:szCs w:val="22"/>
        </w:rPr>
        <w:t xml:space="preserve">« Saisi d'une proposition conjointe d'une commune ou d'un établissement public de coopération intercommunale et d'un ou plusieurs conseils d'école, le directeur académique des services de l'éducation nationale, agissant par délégation du recteur d'académie, peut autoriser des adaptations à l'organisation de la semaine scolaire définie par l'article D. 521-10, </w:t>
      </w:r>
      <w:r w:rsidRPr="00A30B87">
        <w:rPr>
          <w:b/>
          <w:bCs/>
          <w:sz w:val="22"/>
          <w:szCs w:val="22"/>
        </w:rPr>
        <w:t xml:space="preserve">après avis de l'inspecteur de l'éducation nationale chargé de la circonscription d'enseignement du premier degré et de la commune ou de l'établissement public de coopération intercommunale dans laquelle est située l'école ou dans laquelle sont situées les écoles. » </w:t>
      </w:r>
    </w:p>
    <w:p w:rsidR="00A30B87" w:rsidRPr="00A30B87" w:rsidRDefault="00A30B87" w:rsidP="00A30B87">
      <w:pPr>
        <w:pStyle w:val="Default"/>
        <w:rPr>
          <w:sz w:val="22"/>
          <w:szCs w:val="22"/>
        </w:rPr>
      </w:pPr>
    </w:p>
    <w:p w:rsidR="00A30B87" w:rsidRPr="00A30B87" w:rsidRDefault="00A30B87" w:rsidP="00A30B87">
      <w:pPr>
        <w:widowControl w:val="0"/>
        <w:suppressAutoHyphens/>
        <w:spacing w:after="0" w:line="240" w:lineRule="auto"/>
        <w:jc w:val="both"/>
        <w:rPr>
          <w:rFonts w:ascii="Tahoma" w:eastAsia="Arial Unicode MS" w:hAnsi="Tahoma" w:cs="Tahoma"/>
          <w:kern w:val="1"/>
          <w:lang w:eastAsia="zh-CN" w:bidi="hi-IN"/>
        </w:rPr>
      </w:pPr>
      <w:r w:rsidRPr="00A30B87">
        <w:rPr>
          <w:b/>
          <w:bCs/>
        </w:rPr>
        <w:t xml:space="preserve">Motivation </w:t>
      </w:r>
      <w:r w:rsidRPr="00A30B87">
        <w:t>: pour le SNUipp-FSU, les demandes de dérogations pour 4 jours ou 4 jours et demi, doivent pouvoir émaner des conseils d'école dans lesquels est réunie l’ensemble de la communauté éducative, et les autorités de l’éducation nationale assurer réellement leur rôle de régulateur en considérant l’avis des mairies.</w:t>
      </w:r>
    </w:p>
    <w:p w:rsidR="00FA5566" w:rsidRPr="00A30B87" w:rsidRDefault="00FA5566" w:rsidP="00FA5566">
      <w:pPr>
        <w:widowControl w:val="0"/>
        <w:suppressAutoHyphens/>
        <w:spacing w:after="0" w:line="240" w:lineRule="auto"/>
        <w:jc w:val="both"/>
        <w:rPr>
          <w:rFonts w:ascii="Tahoma" w:eastAsia="Arial Unicode MS" w:hAnsi="Tahoma" w:cs="Tahoma"/>
          <w:kern w:val="1"/>
          <w:lang w:eastAsia="zh-CN" w:bidi="hi-IN"/>
        </w:rPr>
      </w:pPr>
      <w:r w:rsidRPr="00A30B87">
        <w:rPr>
          <w:rFonts w:ascii="Tahoma" w:eastAsia="Arial Unicode MS" w:hAnsi="Tahoma" w:cs="Tahoma"/>
          <w:kern w:val="1"/>
          <w:lang w:eastAsia="zh-CN" w:bidi="hi-IN"/>
        </w:rPr>
        <w:t>Pour : 19</w:t>
      </w:r>
    </w:p>
    <w:p w:rsidR="00FA5566" w:rsidRPr="00A30B87" w:rsidRDefault="00FA5566" w:rsidP="00FA5566">
      <w:pPr>
        <w:widowControl w:val="0"/>
        <w:suppressAutoHyphens/>
        <w:spacing w:after="0" w:line="240" w:lineRule="auto"/>
        <w:jc w:val="both"/>
        <w:rPr>
          <w:rFonts w:ascii="Tahoma" w:eastAsia="Arial Unicode MS" w:hAnsi="Tahoma" w:cs="Tahoma"/>
          <w:kern w:val="1"/>
          <w:lang w:eastAsia="zh-CN" w:bidi="hi-IN"/>
        </w:rPr>
      </w:pPr>
      <w:r w:rsidRPr="00A30B87">
        <w:rPr>
          <w:rFonts w:ascii="Tahoma" w:eastAsia="Arial Unicode MS" w:hAnsi="Tahoma" w:cs="Tahoma"/>
          <w:kern w:val="1"/>
          <w:lang w:eastAsia="zh-CN" w:bidi="hi-IN"/>
        </w:rPr>
        <w:t>Contre : 30</w:t>
      </w:r>
    </w:p>
    <w:p w:rsidR="00FA5566" w:rsidRPr="00A30B87" w:rsidRDefault="00FA5566" w:rsidP="00FA5566">
      <w:pPr>
        <w:widowControl w:val="0"/>
        <w:suppressAutoHyphens/>
        <w:spacing w:after="0" w:line="240" w:lineRule="auto"/>
        <w:jc w:val="both"/>
        <w:rPr>
          <w:rFonts w:ascii="Tahoma" w:eastAsia="Arial Unicode MS" w:hAnsi="Tahoma" w:cs="Tahoma"/>
          <w:kern w:val="1"/>
          <w:lang w:eastAsia="zh-CN" w:bidi="hi-IN"/>
        </w:rPr>
      </w:pPr>
      <w:r w:rsidRPr="00A30B87">
        <w:rPr>
          <w:rFonts w:ascii="Tahoma" w:eastAsia="Arial Unicode MS" w:hAnsi="Tahoma" w:cs="Tahoma"/>
          <w:kern w:val="1"/>
          <w:lang w:eastAsia="zh-CN" w:bidi="hi-IN"/>
        </w:rPr>
        <w:t>Abstentions : 20</w:t>
      </w:r>
    </w:p>
    <w:p w:rsidR="00FA5566" w:rsidRPr="00A30B87" w:rsidRDefault="00FA5566" w:rsidP="00FA5566">
      <w:pPr>
        <w:widowControl w:val="0"/>
        <w:suppressAutoHyphens/>
        <w:spacing w:after="0" w:line="240" w:lineRule="auto"/>
        <w:jc w:val="both"/>
        <w:rPr>
          <w:rFonts w:ascii="Tahoma" w:eastAsia="Arial Unicode MS" w:hAnsi="Tahoma" w:cs="Tahoma"/>
          <w:kern w:val="1"/>
          <w:lang w:eastAsia="zh-CN" w:bidi="hi-IN"/>
        </w:rPr>
      </w:pPr>
      <w:r w:rsidRPr="00A30B87">
        <w:rPr>
          <w:rFonts w:ascii="Tahoma" w:eastAsia="Arial Unicode MS" w:hAnsi="Tahoma" w:cs="Tahoma"/>
          <w:kern w:val="1"/>
          <w:lang w:eastAsia="zh-CN" w:bidi="hi-IN"/>
        </w:rPr>
        <w:t>Refus de vote : 3</w:t>
      </w:r>
    </w:p>
    <w:p w:rsidR="00FA5566" w:rsidRPr="00A30B87" w:rsidRDefault="00FA5566" w:rsidP="00FA5566">
      <w:pPr>
        <w:widowControl w:val="0"/>
        <w:suppressAutoHyphens/>
        <w:spacing w:after="0" w:line="240" w:lineRule="auto"/>
        <w:jc w:val="both"/>
        <w:rPr>
          <w:rFonts w:ascii="Tahoma" w:eastAsia="Arial Unicode MS" w:hAnsi="Tahoma" w:cs="Tahoma"/>
          <w:kern w:val="1"/>
          <w:lang w:eastAsia="zh-CN" w:bidi="hi-IN"/>
        </w:rPr>
      </w:pPr>
    </w:p>
    <w:p w:rsidR="00FA5566" w:rsidRPr="00A30B87" w:rsidRDefault="00FA5566" w:rsidP="00FA5566">
      <w:pPr>
        <w:widowControl w:val="0"/>
        <w:suppressAutoHyphens/>
        <w:spacing w:after="0" w:line="240" w:lineRule="auto"/>
        <w:jc w:val="both"/>
        <w:rPr>
          <w:rFonts w:ascii="Tahoma" w:eastAsia="Arial Unicode MS" w:hAnsi="Tahoma" w:cs="Tahoma"/>
          <w:kern w:val="1"/>
          <w:lang w:eastAsia="zh-CN" w:bidi="hi-IN"/>
        </w:rPr>
      </w:pPr>
      <w:r w:rsidRPr="00A30B87">
        <w:rPr>
          <w:rFonts w:ascii="Tahoma" w:eastAsia="Arial Unicode MS" w:hAnsi="Tahoma" w:cs="Tahoma"/>
          <w:b/>
          <w:kern w:val="1"/>
          <w:lang w:eastAsia="zh-CN" w:bidi="hi-IN"/>
        </w:rPr>
        <w:t>Amendement 2 SNUipp :</w:t>
      </w:r>
      <w:r w:rsidRPr="00A30B87">
        <w:rPr>
          <w:rFonts w:ascii="Tahoma" w:eastAsia="Arial Unicode MS" w:hAnsi="Tahoma" w:cs="Tahoma"/>
          <w:kern w:val="1"/>
          <w:lang w:eastAsia="zh-CN" w:bidi="hi-IN"/>
        </w:rPr>
        <w:t xml:space="preserve"> mercredi ou samedi libéré</w:t>
      </w:r>
    </w:p>
    <w:p w:rsidR="00A30B87" w:rsidRPr="00A30B87" w:rsidRDefault="00A30B87" w:rsidP="00FA5566">
      <w:pPr>
        <w:widowControl w:val="0"/>
        <w:suppressAutoHyphens/>
        <w:spacing w:after="0" w:line="240" w:lineRule="auto"/>
        <w:jc w:val="both"/>
        <w:rPr>
          <w:rFonts w:ascii="Tahoma" w:eastAsia="Arial Unicode MS" w:hAnsi="Tahoma" w:cs="Tahoma"/>
          <w:kern w:val="1"/>
          <w:lang w:eastAsia="zh-CN" w:bidi="hi-IN"/>
        </w:rPr>
      </w:pPr>
    </w:p>
    <w:p w:rsidR="00A30B87" w:rsidRPr="00A30B87" w:rsidRDefault="00A30B87" w:rsidP="00A30B87">
      <w:pPr>
        <w:pStyle w:val="Default"/>
        <w:rPr>
          <w:sz w:val="22"/>
          <w:szCs w:val="22"/>
        </w:rPr>
      </w:pPr>
      <w:r w:rsidRPr="00A30B87">
        <w:rPr>
          <w:b/>
          <w:bCs/>
          <w:sz w:val="22"/>
          <w:szCs w:val="22"/>
        </w:rPr>
        <w:t xml:space="preserve">Ajouter au 2° « en moyenne annuelle », comme suit : </w:t>
      </w:r>
    </w:p>
    <w:p w:rsidR="00A30B87" w:rsidRPr="00A30B87" w:rsidRDefault="00A30B87" w:rsidP="00A30B87">
      <w:pPr>
        <w:pStyle w:val="Default"/>
        <w:rPr>
          <w:sz w:val="22"/>
          <w:szCs w:val="22"/>
        </w:rPr>
      </w:pPr>
      <w:r w:rsidRPr="00A30B87">
        <w:rPr>
          <w:sz w:val="22"/>
          <w:szCs w:val="22"/>
        </w:rPr>
        <w:t xml:space="preserve">2° Des dérogations aux dispositions des premier, deuxième et quatrième alinéas de l'article D. 521-10, sous réserve qu'elles n'aient pas pour effet de répartir les enseignements sur moins de huit demi-journées par semaine, ni d'organiser les heures d'enseignement sur plus de vingt-quatre heures hebdomadaires </w:t>
      </w:r>
      <w:r w:rsidRPr="00A30B87">
        <w:rPr>
          <w:b/>
          <w:bCs/>
          <w:sz w:val="22"/>
          <w:szCs w:val="22"/>
        </w:rPr>
        <w:t>en moyenne annuelle</w:t>
      </w:r>
      <w:r w:rsidRPr="00A30B87">
        <w:rPr>
          <w:sz w:val="22"/>
          <w:szCs w:val="22"/>
        </w:rPr>
        <w:t xml:space="preserve">, ni sur plus de six heures par jour et trois heures trente par demi-journée, ni de réduire ou d'augmenter sur une année scolaire le nombre d'heures d'enseignement ni de modifier leur répartition. </w:t>
      </w:r>
    </w:p>
    <w:p w:rsidR="00A30B87" w:rsidRPr="00A30B87" w:rsidRDefault="00A30B87" w:rsidP="00A30B87">
      <w:pPr>
        <w:widowControl w:val="0"/>
        <w:suppressAutoHyphens/>
        <w:spacing w:after="0" w:line="240" w:lineRule="auto"/>
        <w:jc w:val="both"/>
        <w:rPr>
          <w:rFonts w:ascii="Tahoma" w:eastAsia="Arial Unicode MS" w:hAnsi="Tahoma" w:cs="Tahoma"/>
          <w:kern w:val="1"/>
          <w:lang w:eastAsia="zh-CN" w:bidi="hi-IN"/>
        </w:rPr>
      </w:pPr>
      <w:r w:rsidRPr="00A30B87">
        <w:rPr>
          <w:b/>
          <w:bCs/>
        </w:rPr>
        <w:t xml:space="preserve">Motivation </w:t>
      </w:r>
      <w:r w:rsidRPr="00A30B87">
        <w:t>: cette rédaction a pour but de permettre une alternance régulière de semaines à 9 demi-journées et d’une semaine à 8 demi-journées pour libérer un mercredi ou un samedi matin sur 3 ou 4 pour le travail en équipe et les animations pédagogiques. Cette organisation a donné satisfaction aux enseignants, aux parents d’élèves ainsi qu’aux élus, à Poitiers et Toulouse notamment.</w:t>
      </w:r>
    </w:p>
    <w:p w:rsidR="00FA5566" w:rsidRPr="00A30B87" w:rsidRDefault="00FA5566" w:rsidP="00FA5566">
      <w:pPr>
        <w:widowControl w:val="0"/>
        <w:suppressAutoHyphens/>
        <w:spacing w:after="0" w:line="240" w:lineRule="auto"/>
        <w:jc w:val="both"/>
        <w:rPr>
          <w:rFonts w:ascii="Tahoma" w:eastAsia="Arial Unicode MS" w:hAnsi="Tahoma" w:cs="Tahoma"/>
          <w:kern w:val="1"/>
          <w:lang w:eastAsia="zh-CN" w:bidi="hi-IN"/>
        </w:rPr>
      </w:pPr>
      <w:r w:rsidRPr="00A30B87">
        <w:rPr>
          <w:rFonts w:ascii="Tahoma" w:eastAsia="Arial Unicode MS" w:hAnsi="Tahoma" w:cs="Tahoma"/>
          <w:kern w:val="1"/>
          <w:lang w:eastAsia="zh-CN" w:bidi="hi-IN"/>
        </w:rPr>
        <w:t>Pour : 28</w:t>
      </w:r>
    </w:p>
    <w:p w:rsidR="00FA5566" w:rsidRPr="00A30B87" w:rsidRDefault="00FA5566" w:rsidP="00FA5566">
      <w:pPr>
        <w:widowControl w:val="0"/>
        <w:suppressAutoHyphens/>
        <w:spacing w:after="0" w:line="240" w:lineRule="auto"/>
        <w:jc w:val="both"/>
        <w:rPr>
          <w:rFonts w:ascii="Tahoma" w:eastAsia="Arial Unicode MS" w:hAnsi="Tahoma" w:cs="Tahoma"/>
          <w:kern w:val="1"/>
          <w:lang w:eastAsia="zh-CN" w:bidi="hi-IN"/>
        </w:rPr>
      </w:pPr>
      <w:r w:rsidRPr="00A30B87">
        <w:rPr>
          <w:rFonts w:ascii="Tahoma" w:eastAsia="Arial Unicode MS" w:hAnsi="Tahoma" w:cs="Tahoma"/>
          <w:kern w:val="1"/>
          <w:lang w:eastAsia="zh-CN" w:bidi="hi-IN"/>
        </w:rPr>
        <w:t>Contre : 19</w:t>
      </w:r>
    </w:p>
    <w:p w:rsidR="00FA5566" w:rsidRPr="00A30B87" w:rsidRDefault="00FA5566" w:rsidP="00FA5566">
      <w:pPr>
        <w:widowControl w:val="0"/>
        <w:suppressAutoHyphens/>
        <w:spacing w:after="0" w:line="240" w:lineRule="auto"/>
        <w:jc w:val="both"/>
        <w:rPr>
          <w:rFonts w:ascii="Tahoma" w:eastAsia="Arial Unicode MS" w:hAnsi="Tahoma" w:cs="Tahoma"/>
          <w:kern w:val="1"/>
          <w:lang w:eastAsia="zh-CN" w:bidi="hi-IN"/>
        </w:rPr>
      </w:pPr>
      <w:r w:rsidRPr="00A30B87">
        <w:rPr>
          <w:rFonts w:ascii="Tahoma" w:eastAsia="Arial Unicode MS" w:hAnsi="Tahoma" w:cs="Tahoma"/>
          <w:kern w:val="1"/>
          <w:lang w:eastAsia="zh-CN" w:bidi="hi-IN"/>
        </w:rPr>
        <w:t>Abstentions : 19</w:t>
      </w:r>
    </w:p>
    <w:p w:rsidR="00FA5566" w:rsidRPr="00A30B87" w:rsidRDefault="00FA5566" w:rsidP="00FA5566">
      <w:pPr>
        <w:widowControl w:val="0"/>
        <w:suppressAutoHyphens/>
        <w:spacing w:after="0" w:line="240" w:lineRule="auto"/>
        <w:jc w:val="both"/>
        <w:rPr>
          <w:rFonts w:ascii="Tahoma" w:eastAsia="Arial Unicode MS" w:hAnsi="Tahoma" w:cs="Tahoma"/>
          <w:kern w:val="1"/>
          <w:lang w:eastAsia="zh-CN" w:bidi="hi-IN"/>
        </w:rPr>
      </w:pPr>
      <w:r w:rsidRPr="00A30B87">
        <w:rPr>
          <w:rFonts w:ascii="Tahoma" w:eastAsia="Arial Unicode MS" w:hAnsi="Tahoma" w:cs="Tahoma"/>
          <w:kern w:val="1"/>
          <w:lang w:eastAsia="zh-CN" w:bidi="hi-IN"/>
        </w:rPr>
        <w:t>Refus de vote : 6</w:t>
      </w:r>
    </w:p>
    <w:p w:rsidR="00FA5566" w:rsidRPr="00A30B87" w:rsidRDefault="00FA5566" w:rsidP="00FA5566">
      <w:pPr>
        <w:widowControl w:val="0"/>
        <w:suppressAutoHyphens/>
        <w:spacing w:after="0" w:line="240" w:lineRule="auto"/>
        <w:jc w:val="both"/>
        <w:rPr>
          <w:rFonts w:ascii="Tahoma" w:eastAsia="Arial Unicode MS" w:hAnsi="Tahoma" w:cs="Tahoma"/>
          <w:kern w:val="1"/>
          <w:lang w:eastAsia="zh-CN" w:bidi="hi-IN"/>
        </w:rPr>
      </w:pPr>
    </w:p>
    <w:p w:rsidR="00FA5566" w:rsidRPr="00A30B87" w:rsidRDefault="00FA5566" w:rsidP="00FA5566">
      <w:pPr>
        <w:widowControl w:val="0"/>
        <w:suppressAutoHyphens/>
        <w:spacing w:after="0" w:line="240" w:lineRule="auto"/>
        <w:jc w:val="both"/>
        <w:rPr>
          <w:rFonts w:ascii="Tahoma" w:eastAsia="Arial Unicode MS" w:hAnsi="Tahoma" w:cs="Tahoma"/>
          <w:b/>
          <w:kern w:val="1"/>
          <w:lang w:eastAsia="zh-CN" w:bidi="hi-IN"/>
        </w:rPr>
      </w:pPr>
      <w:r w:rsidRPr="00A30B87">
        <w:rPr>
          <w:rFonts w:ascii="Tahoma" w:eastAsia="Arial Unicode MS" w:hAnsi="Tahoma" w:cs="Tahoma"/>
          <w:b/>
          <w:kern w:val="1"/>
          <w:highlight w:val="yellow"/>
          <w:lang w:eastAsia="zh-CN" w:bidi="hi-IN"/>
        </w:rPr>
        <w:t>Vote sur le décret :</w:t>
      </w:r>
    </w:p>
    <w:p w:rsidR="00091FD4" w:rsidRPr="00A30B87" w:rsidRDefault="008F43C9" w:rsidP="00091FD4">
      <w:pPr>
        <w:spacing w:after="240" w:line="240" w:lineRule="auto"/>
        <w:rPr>
          <w:rFonts w:ascii="Tahoma" w:eastAsia="Times New Roman" w:hAnsi="Tahoma" w:cs="Tahoma"/>
          <w:color w:val="000000"/>
          <w:lang w:eastAsia="fr-FR"/>
        </w:rPr>
      </w:pPr>
      <w:r w:rsidRPr="00A30B87">
        <w:rPr>
          <w:rFonts w:ascii="Tahoma" w:eastAsia="Times New Roman" w:hAnsi="Tahoma" w:cs="Tahoma"/>
          <w:lang w:eastAsia="fr-FR"/>
        </w:rPr>
        <w:br/>
      </w:r>
      <w:r w:rsidRPr="00A30B87">
        <w:rPr>
          <w:rFonts w:ascii="Tahoma" w:eastAsia="Times New Roman" w:hAnsi="Tahoma" w:cs="Tahoma"/>
          <w:b/>
          <w:lang w:eastAsia="fr-FR"/>
        </w:rPr>
        <w:t>Pour</w:t>
      </w:r>
      <w:r w:rsidRPr="00A30B87">
        <w:rPr>
          <w:rFonts w:ascii="Tahoma" w:eastAsia="Times New Roman" w:hAnsi="Tahoma" w:cs="Tahoma"/>
          <w:lang w:eastAsia="fr-FR"/>
        </w:rPr>
        <w:t xml:space="preserve"> : 21  le Snalc-FGAF, le SNUipp-FSU (et les syndicats de la FSU) ,  CFTC, AMF, PEEP, SPELC, MEDEF, Conseillers Régionaux</w:t>
      </w:r>
      <w:r w:rsidRPr="00A30B87">
        <w:rPr>
          <w:rFonts w:ascii="Tahoma" w:eastAsia="Times New Roman" w:hAnsi="Tahoma" w:cs="Tahoma"/>
          <w:lang w:eastAsia="fr-FR"/>
        </w:rPr>
        <w:br/>
      </w:r>
      <w:r w:rsidRPr="00A30B87">
        <w:rPr>
          <w:rFonts w:ascii="Tahoma" w:eastAsia="Times New Roman" w:hAnsi="Tahoma" w:cs="Tahoma"/>
          <w:b/>
          <w:lang w:eastAsia="fr-FR"/>
        </w:rPr>
        <w:t>Contre</w:t>
      </w:r>
      <w:r w:rsidRPr="00A30B87">
        <w:rPr>
          <w:rFonts w:ascii="Tahoma" w:eastAsia="Times New Roman" w:hAnsi="Tahoma" w:cs="Tahoma"/>
          <w:lang w:eastAsia="fr-FR"/>
        </w:rPr>
        <w:t xml:space="preserve"> : 35 l’Unsa, la FCPE, FO, ligue, JPA, FAGE, UNEF, UNAF, SGL, Solidaires, SUD, CFE CGC, SNPTES</w:t>
      </w:r>
      <w:r w:rsidRPr="00A30B87">
        <w:rPr>
          <w:rFonts w:ascii="Tahoma" w:eastAsia="Times New Roman" w:hAnsi="Tahoma" w:cs="Tahoma"/>
          <w:lang w:eastAsia="fr-FR"/>
        </w:rPr>
        <w:br/>
      </w:r>
      <w:r w:rsidRPr="00A30B87">
        <w:rPr>
          <w:rFonts w:ascii="Tahoma" w:eastAsia="Times New Roman" w:hAnsi="Tahoma" w:cs="Tahoma"/>
          <w:b/>
          <w:lang w:eastAsia="fr-FR"/>
        </w:rPr>
        <w:t>Abstention</w:t>
      </w:r>
      <w:r w:rsidRPr="00A30B87">
        <w:rPr>
          <w:rFonts w:ascii="Tahoma" w:eastAsia="Times New Roman" w:hAnsi="Tahoma" w:cs="Tahoma"/>
          <w:lang w:eastAsia="fr-FR"/>
        </w:rPr>
        <w:t xml:space="preserve"> : 1 </w:t>
      </w:r>
      <w:r w:rsidRPr="00A30B87">
        <w:rPr>
          <w:rFonts w:ascii="Tahoma" w:eastAsia="Times New Roman" w:hAnsi="Tahoma" w:cs="Tahoma"/>
          <w:lang w:eastAsia="fr-FR"/>
        </w:rPr>
        <w:br/>
      </w:r>
      <w:r w:rsidRPr="00A30B87">
        <w:rPr>
          <w:rFonts w:ascii="Tahoma" w:eastAsia="Times New Roman" w:hAnsi="Tahoma" w:cs="Tahoma"/>
          <w:b/>
          <w:lang w:eastAsia="fr-FR"/>
        </w:rPr>
        <w:t>Refus de vote</w:t>
      </w:r>
      <w:r w:rsidRPr="00A30B87">
        <w:rPr>
          <w:rFonts w:ascii="Tahoma" w:eastAsia="Times New Roman" w:hAnsi="Tahoma" w:cs="Tahoma"/>
          <w:lang w:eastAsia="fr-FR"/>
        </w:rPr>
        <w:t xml:space="preserve"> : 15 le Sgen-CFDT , la CGT , SNPDEN,APEL, CNEA, CFDT</w:t>
      </w:r>
      <w:r w:rsidRPr="00A30B87">
        <w:rPr>
          <w:rFonts w:ascii="Tahoma" w:eastAsia="Times New Roman" w:hAnsi="Tahoma" w:cs="Tahoma"/>
          <w:lang w:eastAsia="fr-FR"/>
        </w:rPr>
        <w:br/>
      </w:r>
    </w:p>
    <w:p w:rsidR="00FA5566" w:rsidRPr="008F43C9" w:rsidRDefault="00FA5566" w:rsidP="00FA5566">
      <w:pPr>
        <w:widowControl w:val="0"/>
        <w:suppressAutoHyphens/>
        <w:spacing w:after="0" w:line="240" w:lineRule="auto"/>
        <w:jc w:val="both"/>
        <w:rPr>
          <w:rFonts w:ascii="Tahoma" w:eastAsia="Arial Unicode MS" w:hAnsi="Tahoma" w:cs="Tahoma"/>
          <w:i/>
          <w:kern w:val="1"/>
          <w:sz w:val="24"/>
          <w:szCs w:val="24"/>
          <w:lang w:eastAsia="zh-CN" w:bidi="hi-IN"/>
        </w:rPr>
      </w:pPr>
    </w:p>
    <w:p w:rsidR="00FA5566" w:rsidRPr="00FA5566" w:rsidRDefault="00FA5566" w:rsidP="00FA5566">
      <w:pPr>
        <w:widowControl w:val="0"/>
        <w:suppressAutoHyphens/>
        <w:spacing w:after="0" w:line="240" w:lineRule="auto"/>
        <w:jc w:val="both"/>
        <w:rPr>
          <w:rFonts w:ascii="Tahoma" w:eastAsia="Arial Unicode MS" w:hAnsi="Tahoma" w:cs="Tahoma"/>
          <w:kern w:val="1"/>
          <w:sz w:val="24"/>
          <w:szCs w:val="24"/>
          <w:lang w:eastAsia="zh-CN" w:bidi="hi-IN"/>
        </w:rPr>
      </w:pPr>
    </w:p>
    <w:p w:rsidR="00FA5566" w:rsidRPr="00FA5566" w:rsidRDefault="00FA5566" w:rsidP="00FA5566">
      <w:pPr>
        <w:spacing w:after="80"/>
        <w:rPr>
          <w:rFonts w:ascii="Tahoma" w:hAnsi="Tahoma" w:cs="Tahoma"/>
          <w:sz w:val="20"/>
          <w:szCs w:val="20"/>
        </w:rPr>
      </w:pPr>
    </w:p>
    <w:p w:rsidR="00C80095" w:rsidRPr="00FA5566" w:rsidRDefault="00C80095">
      <w:pPr>
        <w:rPr>
          <w:rFonts w:ascii="Tahoma" w:eastAsia="Times New Roman" w:hAnsi="Tahoma" w:cs="Tahoma"/>
          <w:b/>
          <w:i/>
          <w:sz w:val="24"/>
          <w:szCs w:val="24"/>
          <w:lang w:eastAsia="fr-FR"/>
        </w:rPr>
      </w:pPr>
    </w:p>
    <w:p w:rsidR="00C80095" w:rsidRPr="00FA5566" w:rsidRDefault="00A30B87">
      <w:pPr>
        <w:rPr>
          <w:rFonts w:ascii="Tahoma" w:hAnsi="Tahoma" w:cs="Tahoma"/>
        </w:rPr>
      </w:pPr>
      <w:r>
        <w:rPr>
          <w:rFonts w:ascii="Tahoma" w:hAnsi="Tahoma" w:cs="Tahoma"/>
          <w:i/>
          <w:iCs/>
        </w:rPr>
        <w:t xml:space="preserve"> </w:t>
      </w:r>
      <w:bookmarkStart w:id="0" w:name="_GoBack"/>
      <w:bookmarkEnd w:id="0"/>
    </w:p>
    <w:sectPr w:rsidR="00C80095" w:rsidRPr="00FA5566" w:rsidSect="00A30B87">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EE6" w:rsidRDefault="00EC1EE6" w:rsidP="003863D4">
      <w:pPr>
        <w:spacing w:after="0" w:line="240" w:lineRule="auto"/>
      </w:pPr>
      <w:r>
        <w:separator/>
      </w:r>
    </w:p>
  </w:endnote>
  <w:endnote w:type="continuationSeparator" w:id="0">
    <w:p w:rsidR="00EC1EE6" w:rsidRDefault="00EC1EE6" w:rsidP="00386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888059"/>
      <w:docPartObj>
        <w:docPartGallery w:val="Page Numbers (Bottom of Page)"/>
        <w:docPartUnique/>
      </w:docPartObj>
    </w:sdtPr>
    <w:sdtEndPr/>
    <w:sdtContent>
      <w:p w:rsidR="003863D4" w:rsidRDefault="003863D4">
        <w:pPr>
          <w:pStyle w:val="Pieddepage"/>
          <w:jc w:val="center"/>
        </w:pPr>
        <w:r>
          <w:fldChar w:fldCharType="begin"/>
        </w:r>
        <w:r>
          <w:instrText>PAGE   \* MERGEFORMAT</w:instrText>
        </w:r>
        <w:r>
          <w:fldChar w:fldCharType="separate"/>
        </w:r>
        <w:r w:rsidR="00A30B87">
          <w:rPr>
            <w:noProof/>
          </w:rPr>
          <w:t>2</w:t>
        </w:r>
        <w:r>
          <w:fldChar w:fldCharType="end"/>
        </w:r>
      </w:p>
    </w:sdtContent>
  </w:sdt>
  <w:p w:rsidR="003863D4" w:rsidRDefault="003863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EE6" w:rsidRDefault="00EC1EE6" w:rsidP="003863D4">
      <w:pPr>
        <w:spacing w:after="0" w:line="240" w:lineRule="auto"/>
      </w:pPr>
      <w:r>
        <w:separator/>
      </w:r>
    </w:p>
  </w:footnote>
  <w:footnote w:type="continuationSeparator" w:id="0">
    <w:p w:rsidR="00EC1EE6" w:rsidRDefault="00EC1EE6" w:rsidP="00386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6334E"/>
    <w:multiLevelType w:val="multilevel"/>
    <w:tmpl w:val="06BC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257D0"/>
    <w:multiLevelType w:val="multilevel"/>
    <w:tmpl w:val="41F0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D2"/>
    <w:rsid w:val="00005EC3"/>
    <w:rsid w:val="00020004"/>
    <w:rsid w:val="00091FD4"/>
    <w:rsid w:val="000C584E"/>
    <w:rsid w:val="001230F8"/>
    <w:rsid w:val="00147016"/>
    <w:rsid w:val="00175180"/>
    <w:rsid w:val="001F633B"/>
    <w:rsid w:val="00215CF7"/>
    <w:rsid w:val="002648F8"/>
    <w:rsid w:val="00277090"/>
    <w:rsid w:val="0028341F"/>
    <w:rsid w:val="002B3BCF"/>
    <w:rsid w:val="0034355E"/>
    <w:rsid w:val="003863D4"/>
    <w:rsid w:val="00461A9F"/>
    <w:rsid w:val="00496526"/>
    <w:rsid w:val="004B47E4"/>
    <w:rsid w:val="004F253A"/>
    <w:rsid w:val="006B5346"/>
    <w:rsid w:val="00732969"/>
    <w:rsid w:val="007558D5"/>
    <w:rsid w:val="007C2ED2"/>
    <w:rsid w:val="008F43C9"/>
    <w:rsid w:val="00971005"/>
    <w:rsid w:val="00983257"/>
    <w:rsid w:val="009A197E"/>
    <w:rsid w:val="00A30B87"/>
    <w:rsid w:val="00B146A2"/>
    <w:rsid w:val="00B81B6B"/>
    <w:rsid w:val="00C80095"/>
    <w:rsid w:val="00C81DCA"/>
    <w:rsid w:val="00C84943"/>
    <w:rsid w:val="00C91E40"/>
    <w:rsid w:val="00CE7C15"/>
    <w:rsid w:val="00D64A33"/>
    <w:rsid w:val="00EC1EE6"/>
    <w:rsid w:val="00ED7759"/>
    <w:rsid w:val="00F07F5D"/>
    <w:rsid w:val="00F53865"/>
    <w:rsid w:val="00F65077"/>
    <w:rsid w:val="00FA55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0DE47-F2EF-4B01-B944-5BA4C58A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Normal">
    <w:name w:val="LO-Normal"/>
    <w:qFormat/>
    <w:rsid w:val="00C80095"/>
    <w:pPr>
      <w:keepNext/>
      <w:widowControl w:val="0"/>
      <w:shd w:val="clear" w:color="auto" w:fill="FFFFFF"/>
      <w:suppressAutoHyphens/>
      <w:spacing w:after="0" w:line="240" w:lineRule="auto"/>
    </w:pPr>
    <w:rPr>
      <w:rFonts w:ascii="Times New Roman" w:eastAsia="SimSun" w:hAnsi="Times New Roman" w:cs="Mangal"/>
      <w:sz w:val="24"/>
      <w:szCs w:val="24"/>
      <w:lang w:eastAsia="zh-CN" w:bidi="hi-IN"/>
    </w:rPr>
  </w:style>
  <w:style w:type="paragraph" w:styleId="NormalWeb">
    <w:name w:val="Normal (Web)"/>
    <w:basedOn w:val="Normal"/>
    <w:uiPriority w:val="99"/>
    <w:semiHidden/>
    <w:unhideWhenUsed/>
    <w:rsid w:val="00FA5566"/>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751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5180"/>
    <w:rPr>
      <w:rFonts w:ascii="Tahoma" w:hAnsi="Tahoma" w:cs="Tahoma"/>
      <w:sz w:val="16"/>
      <w:szCs w:val="16"/>
    </w:rPr>
  </w:style>
  <w:style w:type="paragraph" w:styleId="En-tte">
    <w:name w:val="header"/>
    <w:basedOn w:val="Normal"/>
    <w:link w:val="En-tteCar"/>
    <w:uiPriority w:val="99"/>
    <w:unhideWhenUsed/>
    <w:rsid w:val="003863D4"/>
    <w:pPr>
      <w:tabs>
        <w:tab w:val="center" w:pos="4536"/>
        <w:tab w:val="right" w:pos="9072"/>
      </w:tabs>
      <w:spacing w:after="0" w:line="240" w:lineRule="auto"/>
    </w:pPr>
  </w:style>
  <w:style w:type="character" w:customStyle="1" w:styleId="En-tteCar">
    <w:name w:val="En-tête Car"/>
    <w:basedOn w:val="Policepardfaut"/>
    <w:link w:val="En-tte"/>
    <w:uiPriority w:val="99"/>
    <w:rsid w:val="003863D4"/>
  </w:style>
  <w:style w:type="paragraph" w:styleId="Pieddepage">
    <w:name w:val="footer"/>
    <w:basedOn w:val="Normal"/>
    <w:link w:val="PieddepageCar"/>
    <w:uiPriority w:val="99"/>
    <w:unhideWhenUsed/>
    <w:rsid w:val="003863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63D4"/>
  </w:style>
  <w:style w:type="table" w:styleId="Grilledutableau">
    <w:name w:val="Table Grid"/>
    <w:basedOn w:val="TableauNormal"/>
    <w:uiPriority w:val="59"/>
    <w:rsid w:val="004B4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0B8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5149">
      <w:bodyDiv w:val="1"/>
      <w:marLeft w:val="0"/>
      <w:marRight w:val="0"/>
      <w:marTop w:val="0"/>
      <w:marBottom w:val="0"/>
      <w:divBdr>
        <w:top w:val="none" w:sz="0" w:space="0" w:color="auto"/>
        <w:left w:val="none" w:sz="0" w:space="0" w:color="auto"/>
        <w:bottom w:val="none" w:sz="0" w:space="0" w:color="auto"/>
        <w:right w:val="none" w:sz="0" w:space="0" w:color="auto"/>
      </w:divBdr>
      <w:divsChild>
        <w:div w:id="1444109252">
          <w:marLeft w:val="0"/>
          <w:marRight w:val="0"/>
          <w:marTop w:val="0"/>
          <w:marBottom w:val="0"/>
          <w:divBdr>
            <w:top w:val="none" w:sz="0" w:space="0" w:color="auto"/>
            <w:left w:val="none" w:sz="0" w:space="0" w:color="auto"/>
            <w:bottom w:val="none" w:sz="0" w:space="0" w:color="auto"/>
            <w:right w:val="none" w:sz="0" w:space="0" w:color="auto"/>
          </w:divBdr>
          <w:divsChild>
            <w:div w:id="1581210827">
              <w:marLeft w:val="0"/>
              <w:marRight w:val="0"/>
              <w:marTop w:val="0"/>
              <w:marBottom w:val="0"/>
              <w:divBdr>
                <w:top w:val="none" w:sz="0" w:space="0" w:color="auto"/>
                <w:left w:val="none" w:sz="0" w:space="0" w:color="auto"/>
                <w:bottom w:val="none" w:sz="0" w:space="0" w:color="auto"/>
                <w:right w:val="none" w:sz="0" w:space="0" w:color="auto"/>
              </w:divBdr>
            </w:div>
            <w:div w:id="196771156">
              <w:marLeft w:val="0"/>
              <w:marRight w:val="0"/>
              <w:marTop w:val="0"/>
              <w:marBottom w:val="0"/>
              <w:divBdr>
                <w:top w:val="none" w:sz="0" w:space="0" w:color="auto"/>
                <w:left w:val="none" w:sz="0" w:space="0" w:color="auto"/>
                <w:bottom w:val="none" w:sz="0" w:space="0" w:color="auto"/>
                <w:right w:val="none" w:sz="0" w:space="0" w:color="auto"/>
              </w:divBdr>
            </w:div>
            <w:div w:id="618798494">
              <w:marLeft w:val="0"/>
              <w:marRight w:val="0"/>
              <w:marTop w:val="0"/>
              <w:marBottom w:val="0"/>
              <w:divBdr>
                <w:top w:val="none" w:sz="0" w:space="0" w:color="auto"/>
                <w:left w:val="none" w:sz="0" w:space="0" w:color="auto"/>
                <w:bottom w:val="none" w:sz="0" w:space="0" w:color="auto"/>
                <w:right w:val="none" w:sz="0" w:space="0" w:color="auto"/>
              </w:divBdr>
            </w:div>
            <w:div w:id="976178875">
              <w:marLeft w:val="0"/>
              <w:marRight w:val="0"/>
              <w:marTop w:val="0"/>
              <w:marBottom w:val="0"/>
              <w:divBdr>
                <w:top w:val="none" w:sz="0" w:space="0" w:color="auto"/>
                <w:left w:val="none" w:sz="0" w:space="0" w:color="auto"/>
                <w:bottom w:val="none" w:sz="0" w:space="0" w:color="auto"/>
                <w:right w:val="none" w:sz="0" w:space="0" w:color="auto"/>
              </w:divBdr>
            </w:div>
            <w:div w:id="89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9523">
      <w:bodyDiv w:val="1"/>
      <w:marLeft w:val="0"/>
      <w:marRight w:val="0"/>
      <w:marTop w:val="0"/>
      <w:marBottom w:val="0"/>
      <w:divBdr>
        <w:top w:val="none" w:sz="0" w:space="0" w:color="auto"/>
        <w:left w:val="none" w:sz="0" w:space="0" w:color="auto"/>
        <w:bottom w:val="none" w:sz="0" w:space="0" w:color="auto"/>
        <w:right w:val="none" w:sz="0" w:space="0" w:color="auto"/>
      </w:divBdr>
      <w:divsChild>
        <w:div w:id="1119764463">
          <w:marLeft w:val="0"/>
          <w:marRight w:val="0"/>
          <w:marTop w:val="0"/>
          <w:marBottom w:val="0"/>
          <w:divBdr>
            <w:top w:val="none" w:sz="0" w:space="0" w:color="auto"/>
            <w:left w:val="none" w:sz="0" w:space="0" w:color="auto"/>
            <w:bottom w:val="none" w:sz="0" w:space="0" w:color="auto"/>
            <w:right w:val="none" w:sz="0" w:space="0" w:color="auto"/>
          </w:divBdr>
        </w:div>
        <w:div w:id="1595625807">
          <w:marLeft w:val="0"/>
          <w:marRight w:val="0"/>
          <w:marTop w:val="0"/>
          <w:marBottom w:val="0"/>
          <w:divBdr>
            <w:top w:val="none" w:sz="0" w:space="0" w:color="auto"/>
            <w:left w:val="none" w:sz="0" w:space="0" w:color="auto"/>
            <w:bottom w:val="none" w:sz="0" w:space="0" w:color="auto"/>
            <w:right w:val="none" w:sz="0" w:space="0" w:color="auto"/>
          </w:divBdr>
        </w:div>
        <w:div w:id="1398162424">
          <w:marLeft w:val="0"/>
          <w:marRight w:val="0"/>
          <w:marTop w:val="0"/>
          <w:marBottom w:val="0"/>
          <w:divBdr>
            <w:top w:val="none" w:sz="0" w:space="0" w:color="auto"/>
            <w:left w:val="none" w:sz="0" w:space="0" w:color="auto"/>
            <w:bottom w:val="none" w:sz="0" w:space="0" w:color="auto"/>
            <w:right w:val="none" w:sz="0" w:space="0" w:color="auto"/>
          </w:divBdr>
        </w:div>
      </w:divsChild>
    </w:div>
    <w:div w:id="459150795">
      <w:bodyDiv w:val="1"/>
      <w:marLeft w:val="0"/>
      <w:marRight w:val="0"/>
      <w:marTop w:val="0"/>
      <w:marBottom w:val="0"/>
      <w:divBdr>
        <w:top w:val="none" w:sz="0" w:space="0" w:color="auto"/>
        <w:left w:val="none" w:sz="0" w:space="0" w:color="auto"/>
        <w:bottom w:val="none" w:sz="0" w:space="0" w:color="auto"/>
        <w:right w:val="none" w:sz="0" w:space="0" w:color="auto"/>
      </w:divBdr>
    </w:div>
    <w:div w:id="669526678">
      <w:bodyDiv w:val="1"/>
      <w:marLeft w:val="0"/>
      <w:marRight w:val="0"/>
      <w:marTop w:val="0"/>
      <w:marBottom w:val="0"/>
      <w:divBdr>
        <w:top w:val="none" w:sz="0" w:space="0" w:color="auto"/>
        <w:left w:val="none" w:sz="0" w:space="0" w:color="auto"/>
        <w:bottom w:val="none" w:sz="0" w:space="0" w:color="auto"/>
        <w:right w:val="none" w:sz="0" w:space="0" w:color="auto"/>
      </w:divBdr>
      <w:divsChild>
        <w:div w:id="550650515">
          <w:marLeft w:val="0"/>
          <w:marRight w:val="0"/>
          <w:marTop w:val="0"/>
          <w:marBottom w:val="0"/>
          <w:divBdr>
            <w:top w:val="none" w:sz="0" w:space="0" w:color="auto"/>
            <w:left w:val="none" w:sz="0" w:space="0" w:color="auto"/>
            <w:bottom w:val="none" w:sz="0" w:space="0" w:color="auto"/>
            <w:right w:val="none" w:sz="0" w:space="0" w:color="auto"/>
          </w:divBdr>
          <w:divsChild>
            <w:div w:id="1286699630">
              <w:marLeft w:val="0"/>
              <w:marRight w:val="0"/>
              <w:marTop w:val="0"/>
              <w:marBottom w:val="0"/>
              <w:divBdr>
                <w:top w:val="none" w:sz="0" w:space="0" w:color="auto"/>
                <w:left w:val="none" w:sz="0" w:space="0" w:color="auto"/>
                <w:bottom w:val="none" w:sz="0" w:space="0" w:color="auto"/>
                <w:right w:val="none" w:sz="0" w:space="0" w:color="auto"/>
              </w:divBdr>
            </w:div>
            <w:div w:id="19598026">
              <w:marLeft w:val="0"/>
              <w:marRight w:val="0"/>
              <w:marTop w:val="0"/>
              <w:marBottom w:val="0"/>
              <w:divBdr>
                <w:top w:val="none" w:sz="0" w:space="0" w:color="auto"/>
                <w:left w:val="none" w:sz="0" w:space="0" w:color="auto"/>
                <w:bottom w:val="none" w:sz="0" w:space="0" w:color="auto"/>
                <w:right w:val="none" w:sz="0" w:space="0" w:color="auto"/>
              </w:divBdr>
            </w:div>
            <w:div w:id="1669213696">
              <w:marLeft w:val="0"/>
              <w:marRight w:val="0"/>
              <w:marTop w:val="0"/>
              <w:marBottom w:val="0"/>
              <w:divBdr>
                <w:top w:val="none" w:sz="0" w:space="0" w:color="auto"/>
                <w:left w:val="none" w:sz="0" w:space="0" w:color="auto"/>
                <w:bottom w:val="none" w:sz="0" w:space="0" w:color="auto"/>
                <w:right w:val="none" w:sz="0" w:space="0" w:color="auto"/>
              </w:divBdr>
            </w:div>
            <w:div w:id="1214542308">
              <w:marLeft w:val="0"/>
              <w:marRight w:val="0"/>
              <w:marTop w:val="0"/>
              <w:marBottom w:val="0"/>
              <w:divBdr>
                <w:top w:val="none" w:sz="0" w:space="0" w:color="auto"/>
                <w:left w:val="none" w:sz="0" w:space="0" w:color="auto"/>
                <w:bottom w:val="none" w:sz="0" w:space="0" w:color="auto"/>
                <w:right w:val="none" w:sz="0" w:space="0" w:color="auto"/>
              </w:divBdr>
            </w:div>
            <w:div w:id="1549368744">
              <w:marLeft w:val="0"/>
              <w:marRight w:val="0"/>
              <w:marTop w:val="0"/>
              <w:marBottom w:val="0"/>
              <w:divBdr>
                <w:top w:val="none" w:sz="0" w:space="0" w:color="auto"/>
                <w:left w:val="none" w:sz="0" w:space="0" w:color="auto"/>
                <w:bottom w:val="none" w:sz="0" w:space="0" w:color="auto"/>
                <w:right w:val="none" w:sz="0" w:space="0" w:color="auto"/>
              </w:divBdr>
            </w:div>
            <w:div w:id="1128351622">
              <w:marLeft w:val="0"/>
              <w:marRight w:val="0"/>
              <w:marTop w:val="0"/>
              <w:marBottom w:val="0"/>
              <w:divBdr>
                <w:top w:val="none" w:sz="0" w:space="0" w:color="auto"/>
                <w:left w:val="none" w:sz="0" w:space="0" w:color="auto"/>
                <w:bottom w:val="none" w:sz="0" w:space="0" w:color="auto"/>
                <w:right w:val="none" w:sz="0" w:space="0" w:color="auto"/>
              </w:divBdr>
            </w:div>
            <w:div w:id="1952735860">
              <w:marLeft w:val="0"/>
              <w:marRight w:val="0"/>
              <w:marTop w:val="0"/>
              <w:marBottom w:val="0"/>
              <w:divBdr>
                <w:top w:val="none" w:sz="0" w:space="0" w:color="auto"/>
                <w:left w:val="none" w:sz="0" w:space="0" w:color="auto"/>
                <w:bottom w:val="none" w:sz="0" w:space="0" w:color="auto"/>
                <w:right w:val="none" w:sz="0" w:space="0" w:color="auto"/>
              </w:divBdr>
            </w:div>
            <w:div w:id="5630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2455">
      <w:bodyDiv w:val="1"/>
      <w:marLeft w:val="0"/>
      <w:marRight w:val="0"/>
      <w:marTop w:val="0"/>
      <w:marBottom w:val="0"/>
      <w:divBdr>
        <w:top w:val="none" w:sz="0" w:space="0" w:color="auto"/>
        <w:left w:val="none" w:sz="0" w:space="0" w:color="auto"/>
        <w:bottom w:val="none" w:sz="0" w:space="0" w:color="auto"/>
        <w:right w:val="none" w:sz="0" w:space="0" w:color="auto"/>
      </w:divBdr>
      <w:divsChild>
        <w:div w:id="806360917">
          <w:marLeft w:val="0"/>
          <w:marRight w:val="0"/>
          <w:marTop w:val="0"/>
          <w:marBottom w:val="0"/>
          <w:divBdr>
            <w:top w:val="none" w:sz="0" w:space="0" w:color="auto"/>
            <w:left w:val="none" w:sz="0" w:space="0" w:color="auto"/>
            <w:bottom w:val="none" w:sz="0" w:space="0" w:color="auto"/>
            <w:right w:val="none" w:sz="0" w:space="0" w:color="auto"/>
          </w:divBdr>
        </w:div>
        <w:div w:id="512576168">
          <w:marLeft w:val="0"/>
          <w:marRight w:val="0"/>
          <w:marTop w:val="0"/>
          <w:marBottom w:val="0"/>
          <w:divBdr>
            <w:top w:val="none" w:sz="0" w:space="0" w:color="auto"/>
            <w:left w:val="none" w:sz="0" w:space="0" w:color="auto"/>
            <w:bottom w:val="none" w:sz="0" w:space="0" w:color="auto"/>
            <w:right w:val="none" w:sz="0" w:space="0" w:color="auto"/>
          </w:divBdr>
        </w:div>
        <w:div w:id="739209088">
          <w:marLeft w:val="0"/>
          <w:marRight w:val="0"/>
          <w:marTop w:val="0"/>
          <w:marBottom w:val="0"/>
          <w:divBdr>
            <w:top w:val="none" w:sz="0" w:space="0" w:color="auto"/>
            <w:left w:val="none" w:sz="0" w:space="0" w:color="auto"/>
            <w:bottom w:val="none" w:sz="0" w:space="0" w:color="auto"/>
            <w:right w:val="none" w:sz="0" w:space="0" w:color="auto"/>
          </w:divBdr>
        </w:div>
        <w:div w:id="882600325">
          <w:marLeft w:val="0"/>
          <w:marRight w:val="0"/>
          <w:marTop w:val="0"/>
          <w:marBottom w:val="0"/>
          <w:divBdr>
            <w:top w:val="none" w:sz="0" w:space="0" w:color="auto"/>
            <w:left w:val="none" w:sz="0" w:space="0" w:color="auto"/>
            <w:bottom w:val="none" w:sz="0" w:space="0" w:color="auto"/>
            <w:right w:val="none" w:sz="0" w:space="0" w:color="auto"/>
          </w:divBdr>
        </w:div>
      </w:divsChild>
    </w:div>
    <w:div w:id="19489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995</Words>
  <Characters>5474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kuevidjen euphrasie</dc:creator>
  <cp:lastModifiedBy>snuipp FSU</cp:lastModifiedBy>
  <cp:revision>2</cp:revision>
  <cp:lastPrinted>2017-06-09T13:31:00Z</cp:lastPrinted>
  <dcterms:created xsi:type="dcterms:W3CDTF">2017-06-15T10:59:00Z</dcterms:created>
  <dcterms:modified xsi:type="dcterms:W3CDTF">2017-06-15T10:59:00Z</dcterms:modified>
</cp:coreProperties>
</file>